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0875D">
      <w:pPr>
        <w:pStyle w:val="2"/>
        <w:spacing w:after="0" w:line="300" w:lineRule="exact"/>
        <w:rPr>
          <w:rFonts w:ascii="黑体" w:hAnsi="黑体" w:eastAsia="黑体" w:cs="方正黑体_GBK"/>
          <w:bCs/>
          <w:sz w:val="32"/>
          <w:szCs w:val="32"/>
          <w:highlight w:val="none"/>
        </w:rPr>
      </w:pPr>
      <w:r>
        <w:rPr>
          <w:rFonts w:hint="eastAsia" w:ascii="黑体" w:hAnsi="黑体" w:eastAsia="黑体" w:cs="方正黑体_GBK"/>
          <w:bCs/>
          <w:sz w:val="32"/>
          <w:szCs w:val="32"/>
          <w:highlight w:val="none"/>
        </w:rPr>
        <w:t>附件</w:t>
      </w:r>
    </w:p>
    <w:p w14:paraId="21A41D6B">
      <w:pPr>
        <w:pStyle w:val="2"/>
        <w:spacing w:after="0"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生物城集团</w:t>
      </w:r>
      <w:r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年面向社会公开选聘中层管理人员岗位信息表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875"/>
        <w:gridCol w:w="4512"/>
        <w:gridCol w:w="5953"/>
        <w:gridCol w:w="928"/>
      </w:tblGrid>
      <w:tr w14:paraId="1A57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959" w:type="dxa"/>
            <w:vAlign w:val="center"/>
          </w:tcPr>
          <w:p w14:paraId="4AAC51F0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用人公司</w:t>
            </w:r>
          </w:p>
        </w:tc>
        <w:tc>
          <w:tcPr>
            <w:tcW w:w="1559" w:type="dxa"/>
            <w:vAlign w:val="center"/>
          </w:tcPr>
          <w:p w14:paraId="1AEB6EDD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岗位名称</w:t>
            </w:r>
          </w:p>
        </w:tc>
        <w:tc>
          <w:tcPr>
            <w:tcW w:w="875" w:type="dxa"/>
            <w:vAlign w:val="center"/>
          </w:tcPr>
          <w:p w14:paraId="268C93F7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岗位类别</w:t>
            </w:r>
          </w:p>
        </w:tc>
        <w:tc>
          <w:tcPr>
            <w:tcW w:w="4512" w:type="dxa"/>
            <w:vAlign w:val="center"/>
          </w:tcPr>
          <w:p w14:paraId="5EB1A114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岗位职责</w:t>
            </w:r>
          </w:p>
        </w:tc>
        <w:tc>
          <w:tcPr>
            <w:tcW w:w="5953" w:type="dxa"/>
            <w:vAlign w:val="center"/>
          </w:tcPr>
          <w:p w14:paraId="2552FC89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任职资格条件</w:t>
            </w:r>
          </w:p>
        </w:tc>
        <w:tc>
          <w:tcPr>
            <w:tcW w:w="928" w:type="dxa"/>
            <w:vAlign w:val="center"/>
          </w:tcPr>
          <w:p w14:paraId="419DE13C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薪酬</w:t>
            </w:r>
          </w:p>
          <w:p w14:paraId="4DA2EC25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32"/>
                <w:szCs w:val="32"/>
                <w:highlight w:val="none"/>
              </w:rPr>
              <w:t>待遇</w:t>
            </w:r>
          </w:p>
        </w:tc>
      </w:tr>
      <w:tr w14:paraId="753C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959" w:type="dxa"/>
            <w:vAlign w:val="center"/>
          </w:tcPr>
          <w:p w14:paraId="3ED8D9B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成都天府国际生物城发展集团有限公司</w:t>
            </w:r>
          </w:p>
        </w:tc>
        <w:tc>
          <w:tcPr>
            <w:tcW w:w="1559" w:type="dxa"/>
            <w:vAlign w:val="center"/>
          </w:tcPr>
          <w:p w14:paraId="7FD993C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成都生物城股权投资有限公司总经理</w:t>
            </w:r>
          </w:p>
        </w:tc>
        <w:tc>
          <w:tcPr>
            <w:tcW w:w="875" w:type="dxa"/>
            <w:vAlign w:val="center"/>
          </w:tcPr>
          <w:p w14:paraId="442035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投</w:t>
            </w:r>
          </w:p>
          <w:p w14:paraId="2E9396C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资</w:t>
            </w:r>
          </w:p>
          <w:p w14:paraId="4B166EB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类</w:t>
            </w:r>
          </w:p>
        </w:tc>
        <w:tc>
          <w:tcPr>
            <w:tcW w:w="4512" w:type="dxa"/>
            <w:vAlign w:val="center"/>
          </w:tcPr>
          <w:p w14:paraId="5017CAFB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根据董事会提出的发展目标，组织制定和实施公司整体发展战略、经营计划、投资计划。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负责公司的日常工作，执行董事会各项决议，召集总经理办公会，检查、督促和协调各部门的工作进展，完善内部管理制度及团队组建。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通过股权投资、债权投资、综合金融服务等途径，为入驻生物城范围内生物医药企业提供多渠道、多形式资金支持及资源支持。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组织开展项目投资的风险控制及相关商务谈判等工作。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负责公司已投项目的投后管理、投资退出等工作。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完成上级交办的其他任务。</w:t>
            </w:r>
          </w:p>
        </w:tc>
        <w:tc>
          <w:tcPr>
            <w:tcW w:w="5953" w:type="dxa"/>
            <w:vAlign w:val="center"/>
          </w:tcPr>
          <w:p w14:paraId="1EF9BE8D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1.1979年9月10日以后出生。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大学本科及以上学历学位，具有生物医药、投资、金融、财经类、理工科等相关专业背景。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具有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年（含）以上生物、医药、健康领域等产业及投资领域工作经历。具有知名投资机构高管任职经历，或3年以上投资业务部门负责人任职经历，或3年以上投资总监任职经历。</w:t>
            </w:r>
          </w:p>
          <w:p w14:paraId="7282C70B"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对资本市场、生物医药产业发展趋势有深刻理解，熟悉投资、基金行业相关政策法规；具备生物医药行业投资机会的分析和判断能力；精通股权投资、基金募投管退等业务；拥有深厚的产业投资链资源和投资渠道资源。</w:t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具备优秀的团队领导能力、判断与决策能力、协调能力、丰富的团队管理经验。</w:t>
            </w:r>
          </w:p>
        </w:tc>
        <w:tc>
          <w:tcPr>
            <w:tcW w:w="928" w:type="dxa"/>
            <w:vAlign w:val="center"/>
          </w:tcPr>
          <w:p w14:paraId="4E46FDC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4"/>
                <w:sz w:val="24"/>
                <w:szCs w:val="24"/>
              </w:rPr>
              <w:t>按照组织任命的国有企业领导人员薪酬制度执行</w:t>
            </w:r>
          </w:p>
        </w:tc>
      </w:tr>
    </w:tbl>
    <w:p w14:paraId="4E19489D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F26AC"/>
    <w:rsid w:val="03A540A1"/>
    <w:rsid w:val="3AAF26AC"/>
    <w:rsid w:val="429A3451"/>
    <w:rsid w:val="7A3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615</Characters>
  <Lines>0</Lines>
  <Paragraphs>0</Paragraphs>
  <TotalTime>0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2025-09-10T03:43:00Z</dcterms:created>
  <dc:creator>东方浪味仙</dc:creator>
  <cp:lastModifiedBy>东方浪味仙</cp:lastModifiedBy>
  <dcterms:modified xsi:type="dcterms:W3CDTF">2025-09-10T06:00:24Z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A9C7F2A0F86440F38807C001C3B1D388_11</vt:lpwstr>
  </property>
  <property fmtid="{D5CDD505-2E9C-101B-9397-08002B2CF9AE}" pid="4" name="KSOTemplateDocerSaveRecord">
    <vt:lpwstr>eyJoZGlkIjoiMzMyMTgzZDZkODExMmMyODc3NWQ3NmM4M2VlNzY0ZjciLCJ1c2VySWQiOiIxMTM0MTg0NTU4In0=</vt:lpwstr>
  </property>
</Properties>
</file>