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7CCB">
      <w:pPr>
        <w:jc w:val="left"/>
        <w:rPr>
          <w:rFonts w:hint="default" w:ascii="Times New Roman" w:hAnsi="Times New Roman" w:eastAsia="方正黑体_GBK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4"/>
          <w:szCs w:val="24"/>
          <w:highlight w:val="none"/>
          <w:lang w:val="en-US" w:eastAsia="zh-CN"/>
        </w:rPr>
        <w:t>附件</w:t>
      </w:r>
    </w:p>
    <w:p w14:paraId="54CF9627">
      <w:pPr>
        <w:autoSpaceDE/>
        <w:autoSpaceDN/>
        <w:spacing w:line="70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保密承诺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函</w:t>
      </w:r>
    </w:p>
    <w:p w14:paraId="4D0B5161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鉴于：</w:t>
      </w:r>
    </w:p>
    <w:p w14:paraId="0A2F7CAE">
      <w:pPr>
        <w:pStyle w:val="2"/>
        <w:spacing w:line="44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1、我方参加成都生物城股权投资基金管理有限公司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管理基金（以下简称“公司”）开展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的“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A项目仲裁案件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保全责任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保险服务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公开比价”，并根据相关要求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参加报名获取比价资料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。</w:t>
      </w:r>
    </w:p>
    <w:p w14:paraId="141C4060">
      <w:pPr>
        <w:pStyle w:val="2"/>
        <w:spacing w:line="44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2、在我方参加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A项目仲裁案件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保全责任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保险服务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公开比价的过程中，我方将会接收到或能接触到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en-US" w:bidi="ar-SA"/>
        </w:rPr>
        <w:t>公司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lang w:eastAsia="en-US" w:bidi="ar-SA"/>
        </w:rPr>
        <w:t>或其拟申请仲裁的被投资企业与其关联方（包括但不限于下属公司、分支机构）的保密信息（定义见下文），不论该保密信息是以书面的、口头的、图形的、机读的或其他形式作出的；</w:t>
      </w:r>
    </w:p>
    <w:p w14:paraId="65D157FD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3、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同意，仅为本承诺书规定之目的使用该等保密信息，且按照本承诺书之规定履行保密等义务。</w:t>
      </w:r>
    </w:p>
    <w:p w14:paraId="4D047722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因此，经友好协商，双方达成如下协议：</w:t>
      </w:r>
    </w:p>
    <w:p w14:paraId="48A0C4CB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1、出于本承诺书之目的，保密信息是指由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向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披露的所有商业秘密、技术秘密，以及具有保密性的其他信息，不论该种披露是以口头或书面形式作出，或保密信息储存于任何存储媒介，保密信息包括但不限于拟申请仲裁的被投企业信息、财务材料、业务和法律信息、内部管理信息、社会关系网络、人力资源、客户信息、仲裁案件的内容和进程以及任何被标明为保密、机密、秘密或类似保密性标识的信息等。</w:t>
      </w:r>
    </w:p>
    <w:p w14:paraId="24ECD658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2、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同意保密信息不应包括以下信息：</w:t>
      </w:r>
    </w:p>
    <w:p w14:paraId="616C3A97"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不因一方违反本承诺书即已被公众知晓或可获得的信息；</w:t>
      </w:r>
    </w:p>
    <w:p w14:paraId="0A8FD2F7"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接收保密信息之前，即由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正当拥有的，不受任何保密协议限制的信息；</w:t>
      </w:r>
    </w:p>
    <w:p w14:paraId="33F1111A"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从第三方正当接收，不受任何保密义务限制的信息；</w:t>
      </w:r>
    </w:p>
    <w:p w14:paraId="46A3784D"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在未参照保密信息的情况下独立产生的信息；</w:t>
      </w:r>
    </w:p>
    <w:p w14:paraId="643737BD"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根据任何法律法规、管辖法院或政府部门命令而被要求披露的信息，但是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在进行此类披露之前，应当给予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合理的书面通知，并由双方共同努力，在不违反法律规定的前提下，尽量避免、减少因披露保密信息而造成的损失。</w:t>
      </w:r>
    </w:p>
    <w:p w14:paraId="734D8C09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3、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应保持保密信息的保密性，且应达到对待自己的保密信息和财产性文件一样的注意程度，但在任何情况下都不应低于合理的注意程度。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同意不得将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向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披露的保密信息用于除从事本项目之外的任何目的。在应知的基础上，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不得将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的保密信息向除其同意受本协议约束的关联机构、代理、雇员、顾问之外的其他第三方披露。</w:t>
      </w:r>
    </w:p>
    <w:p w14:paraId="32673AE9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4、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提供的保密信息的部分或个别要素虽被披露成为公知信息，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仍应按本承诺书约定对未公开部分的信息履行保密义务。</w:t>
      </w:r>
    </w:p>
    <w:p w14:paraId="3B5B5E33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5、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根据本协议披露的全部保密信息应为且仍为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财产。在此并无任何意图授予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在任何商业秘密或任何知识产权上的权利，本承诺书亦未授予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保密信息上或对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的任何权利。</w:t>
      </w:r>
    </w:p>
    <w:p w14:paraId="1D84CDE4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7、基于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的书面要求，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应立即将所有有形的保密信息返还给披露方，且应基于任何规章要求，销毁涉及或与保密信息有关的在任何有形媒介上的全部笔记、报告或备忘录等。</w:t>
      </w:r>
    </w:p>
    <w:p w14:paraId="2B95002B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8、如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违反或威胁要违反本承诺书下的保密义务，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应有权采取任何法律行动并采取其他合法措施以保护其合法权益。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应对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因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违约行为而遭受的直接损失负责。</w:t>
      </w:r>
    </w:p>
    <w:p w14:paraId="39AF4588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9、本承诺书自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eastAsia="zh-CN"/>
        </w:rPr>
        <w:t>我方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盖章签署之日起生效。保密期限为本承诺书生效之日起至保密信息公开之日止。</w:t>
      </w:r>
    </w:p>
    <w:p w14:paraId="2223B3D4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572ABE47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20AF40A2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330994E9">
      <w:pPr>
        <w:spacing w:line="44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7A9122D4">
      <w:pPr>
        <w:wordWrap w:val="0"/>
        <w:spacing w:line="440" w:lineRule="exact"/>
        <w:jc w:val="righ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eastAsia" w:cs="Times New Roman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承诺人（公章）：                        </w:t>
      </w:r>
    </w:p>
    <w:p w14:paraId="66CFF79F">
      <w:pPr>
        <w:wordWrap w:val="0"/>
        <w:spacing w:line="440" w:lineRule="exact"/>
        <w:jc w:val="right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法定代表人或授权代表（签字）：          </w:t>
      </w:r>
    </w:p>
    <w:p w14:paraId="75FF408C">
      <w:pPr>
        <w:wordWrap w:val="0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2026年     月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日</w:t>
      </w:r>
    </w:p>
    <w:p w14:paraId="0D12CF1F">
      <w:pPr>
        <w:pStyle w:val="3"/>
        <w:tabs>
          <w:tab w:val="left" w:pos="0"/>
        </w:tabs>
        <w:spacing w:line="440" w:lineRule="exact"/>
        <w:ind w:lef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0B3D003E">
      <w:pPr>
        <w:pStyle w:val="3"/>
        <w:tabs>
          <w:tab w:val="left" w:pos="0"/>
        </w:tabs>
        <w:spacing w:line="440" w:lineRule="exact"/>
        <w:ind w:lef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FBD944A">
      <w:pPr>
        <w:pStyle w:val="3"/>
        <w:tabs>
          <w:tab w:val="left" w:pos="0"/>
        </w:tabs>
        <w:spacing w:line="440" w:lineRule="exact"/>
        <w:ind w:lef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D1A20A6">
      <w:pPr>
        <w:pStyle w:val="3"/>
        <w:tabs>
          <w:tab w:val="left" w:pos="0"/>
        </w:tabs>
        <w:spacing w:line="440" w:lineRule="exact"/>
        <w:ind w:lef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24D252">
      <w:pPr>
        <w:spacing w:line="44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 w14:paraId="6C60E10D">
      <w:pPr>
        <w:spacing w:line="44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 w14:paraId="3F68E059">
      <w:pPr>
        <w:widowControl/>
        <w:autoSpaceDE/>
        <w:autoSpaceDN/>
        <w:spacing w:line="7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8ABA7B8">
      <w:pPr>
        <w:widowControl/>
        <w:autoSpaceDE/>
        <w:autoSpaceDN/>
        <w:spacing w:line="7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en-US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资格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en-US"/>
        </w:rPr>
        <w:t>承诺函</w:t>
      </w:r>
    </w:p>
    <w:p w14:paraId="4ADB1EDB">
      <w:pPr>
        <w:widowControl/>
        <w:autoSpaceDE/>
        <w:autoSpaceDN/>
        <w:spacing w:line="7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en-US"/>
        </w:rPr>
      </w:pPr>
    </w:p>
    <w:p w14:paraId="0D264160">
      <w:pPr>
        <w:widowControl/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Cs w:val="24"/>
          <w:highlight w:val="none"/>
        </w:rPr>
        <w:t>本公司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single"/>
        </w:rPr>
        <w:t xml:space="preserve">   （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single"/>
          <w:lang w:val="en-US" w:eastAsia="zh-CN"/>
        </w:rPr>
        <w:t>填写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single"/>
        </w:rPr>
        <w:t>单位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single"/>
          <w:lang w:val="en-US" w:eastAsia="zh-CN"/>
        </w:rPr>
        <w:t>全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single"/>
        </w:rPr>
        <w:t>称）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参加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A项目仲裁保全责任保险服务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  <w:t>公开比价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活动，现根据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  <w:t>公开比价公告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  <w:t>供应商的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资格要求的相关规定，特别针对以下条款，郑重承诺：</w:t>
      </w:r>
    </w:p>
    <w:p w14:paraId="069F36D1"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440" w:lineRule="exact"/>
        <w:ind w:left="0" w:leftChars="0" w:right="0" w:firstLine="720" w:firstLineChars="3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/>
          <w:lang w:val="en-US" w:eastAsia="zh-CN" w:bidi="ar"/>
        </w:rPr>
        <w:t>1、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/>
          <w:lang w:eastAsia="zh-CN" w:bidi="ar"/>
        </w:rPr>
        <w:t>具有经营保险业务许可证；</w:t>
      </w:r>
    </w:p>
    <w:p w14:paraId="43419174"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440" w:lineRule="exact"/>
        <w:ind w:left="0" w:leftChars="0" w:right="0" w:firstLine="720" w:firstLineChars="3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2、参加本次公开比价活动前三年内，在经营活动中没有重大违法违规记录。</w:t>
      </w:r>
    </w:p>
    <w:p w14:paraId="7D50A029"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440" w:lineRule="exact"/>
        <w:ind w:left="0" w:leftChars="0" w:right="0" w:firstLine="720" w:firstLineChars="3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3、截至递交公开比价截止日，未被列入失信被执行人、重大税收违法失信主体、政府采购严重违法失信行为记录名单。</w:t>
      </w:r>
    </w:p>
    <w:p w14:paraId="67BC3845"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</w:rPr>
      </w:pPr>
    </w:p>
    <w:p w14:paraId="089999C3">
      <w:pPr>
        <w:widowControl/>
        <w:spacing w:line="440" w:lineRule="exact"/>
        <w:ind w:firstLine="0" w:firstLineChars="0"/>
        <w:rPr>
          <w:rFonts w:hint="default" w:ascii="Times New Roman" w:hAnsi="Times New Roman" w:cs="Times New Roman"/>
          <w:color w:val="auto"/>
          <w:szCs w:val="24"/>
          <w:highlight w:val="none"/>
        </w:rPr>
      </w:pPr>
    </w:p>
    <w:p w14:paraId="6FED840A">
      <w:pPr>
        <w:widowControl/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Cs w:val="24"/>
          <w:highlight w:val="none"/>
        </w:rPr>
        <w:t>如违反以上承诺，本公司愿承担一切法律责任。</w:t>
      </w:r>
    </w:p>
    <w:p w14:paraId="35E1FE31">
      <w:pPr>
        <w:adjustRightInd/>
        <w:spacing w:line="440" w:lineRule="exact"/>
        <w:ind w:firstLine="0" w:firstLineChars="0"/>
        <w:rPr>
          <w:rFonts w:hint="default" w:ascii="Times New Roman" w:hAnsi="Times New Roman" w:cs="Times New Roman"/>
          <w:color w:val="auto"/>
          <w:szCs w:val="24"/>
          <w:highlight w:val="none"/>
        </w:rPr>
      </w:pPr>
    </w:p>
    <w:p w14:paraId="26D12EA1">
      <w:pPr>
        <w:adjustRightInd/>
        <w:spacing w:line="440" w:lineRule="exact"/>
        <w:ind w:firstLine="0" w:firstLineChars="0"/>
        <w:rPr>
          <w:rFonts w:hint="default" w:ascii="Times New Roman" w:hAnsi="Times New Roman" w:cs="Times New Roman"/>
          <w:color w:val="auto"/>
          <w:szCs w:val="24"/>
          <w:highlight w:val="none"/>
        </w:rPr>
      </w:pPr>
    </w:p>
    <w:p w14:paraId="1A0DA805">
      <w:pPr>
        <w:adjustRightInd/>
        <w:spacing w:line="440" w:lineRule="exact"/>
        <w:ind w:firstLine="0" w:firstLineChars="0"/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</w:pPr>
    </w:p>
    <w:p w14:paraId="21E6D2A8">
      <w:pPr>
        <w:adjustRightInd/>
        <w:spacing w:line="440" w:lineRule="exact"/>
        <w:ind w:firstLine="0" w:firstLineChars="0"/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</w:pPr>
      <w:bookmarkStart w:id="0" w:name="_GoBack"/>
      <w:bookmarkEnd w:id="0"/>
    </w:p>
    <w:p w14:paraId="24082AEE">
      <w:pPr>
        <w:adjustRightInd/>
        <w:spacing w:line="440" w:lineRule="exact"/>
        <w:ind w:firstLine="4080" w:firstLineChars="1700"/>
        <w:rPr>
          <w:rFonts w:hint="default" w:ascii="Times New Roman" w:hAnsi="Times New Roman" w:cs="Times New Roman"/>
          <w:color w:val="auto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  <w:t>承诺人（公章）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：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</w:rPr>
        <w:t xml:space="preserve">     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</w:rPr>
        <w:t xml:space="preserve">    </w:t>
      </w:r>
    </w:p>
    <w:p w14:paraId="13E0BA7D">
      <w:pPr>
        <w:adjustRightInd/>
        <w:spacing w:line="440" w:lineRule="exact"/>
        <w:ind w:firstLine="4080" w:firstLineChars="1700"/>
        <w:rPr>
          <w:rFonts w:hint="default" w:ascii="Times New Roman" w:hAnsi="Times New Roman" w:cs="Times New Roman"/>
          <w:color w:val="auto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Cs w:val="24"/>
          <w:highlight w:val="none"/>
        </w:rPr>
        <w:t>法定代表人或其授权委托代理人（签字）：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</w:rPr>
        <w:t xml:space="preserve">     </w:t>
      </w:r>
    </w:p>
    <w:p w14:paraId="23974476">
      <w:pPr>
        <w:spacing w:line="440" w:lineRule="exact"/>
        <w:ind w:firstLine="4080" w:firstLineChars="17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Cs w:val="24"/>
          <w:highlight w:val="none"/>
        </w:rPr>
        <w:t>日 期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</w:rPr>
        <w:t xml:space="preserve">     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</w:rPr>
        <w:t xml:space="preserve">    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Cs w:val="24"/>
          <w:highlight w:val="none"/>
          <w:u w:val="none"/>
        </w:rPr>
        <w:t xml:space="preserve">    </w:t>
      </w:r>
      <w:r>
        <w:rPr>
          <w:rFonts w:hint="default" w:ascii="Times New Roman" w:hAnsi="Times New Roman" w:cs="Times New Roman"/>
          <w:color w:val="auto"/>
          <w:szCs w:val="24"/>
          <w:highlight w:val="none"/>
        </w:rPr>
        <w:t>日</w:t>
      </w:r>
    </w:p>
    <w:p w14:paraId="69CA0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DD941"/>
    <w:multiLevelType w:val="singleLevel"/>
    <w:tmpl w:val="997DD94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2DE6"/>
    <w:rsid w:val="7E1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方正仿宋_GBK" w:cs="方正仿宋_GBK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Autospacing="0" w:after="0" w:afterAutospacing="0" w:line="360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30"/>
      <w:szCs w:val="30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jc w:val="left"/>
      <w:outlineLvl w:val="1"/>
    </w:pPr>
    <w:rPr>
      <w:rFonts w:ascii="宋体" w:hAnsi="宋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2026-05-15T03:02:00Z</dcterms:created>
  <dc:creator>123</dc:creator>
  <cp:lastModifiedBy>123</cp:lastModifiedBy>
  <dcterms:modified xsi:type="dcterms:W3CDTF">2026-05-15T03:02:55Z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AB74E46C5418462088EDAA385A3C5B24_11</vt:lpwstr>
  </property>
  <property fmtid="{D5CDD505-2E9C-101B-9397-08002B2CF9AE}" pid="4" name="KSOTemplateDocerSaveRecord">
    <vt:lpwstr>eyJoZGlkIjoiMzMyMTgzZDZkODExMmMyODc3NWQ3NmM4M2VlNzY0ZjciLCJ1c2VySWQiOiIxMTM0MTg0NTU4In0=</vt:lpwstr>
  </property>
</Properties>
</file>